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48" w:rsidRPr="00440707" w:rsidRDefault="00F61248" w:rsidP="00440707">
      <w:pPr>
        <w:pStyle w:val="Nadpis2"/>
        <w:rPr>
          <w:rStyle w:val="Siln"/>
        </w:rPr>
      </w:pPr>
      <w:bookmarkStart w:id="0" w:name="_GoBack"/>
      <w:bookmarkEnd w:id="0"/>
      <w:proofErr w:type="spellStart"/>
      <w:r w:rsidRPr="00440707">
        <w:rPr>
          <w:rStyle w:val="Siln"/>
        </w:rPr>
        <w:t>MpL</w:t>
      </w:r>
      <w:proofErr w:type="spellEnd"/>
      <w:r w:rsidRPr="00440707">
        <w:rPr>
          <w:rStyle w:val="Siln"/>
        </w:rPr>
        <w:t xml:space="preserve"> – prohlášení k záměru </w:t>
      </w:r>
      <w:r w:rsidR="00440707">
        <w:rPr>
          <w:rStyle w:val="Siln"/>
        </w:rPr>
        <w:t xml:space="preserve">koupě </w:t>
      </w:r>
      <w:r w:rsidRPr="00440707">
        <w:rPr>
          <w:rStyle w:val="Siln"/>
        </w:rPr>
        <w:t xml:space="preserve">KJ od KH </w:t>
      </w:r>
      <w:proofErr w:type="spellStart"/>
      <w:r w:rsidRPr="00440707">
        <w:rPr>
          <w:rStyle w:val="Siln"/>
        </w:rPr>
        <w:t>Tebis</w:t>
      </w:r>
      <w:proofErr w:type="spellEnd"/>
      <w:r w:rsidRPr="00440707">
        <w:rPr>
          <w:rStyle w:val="Siln"/>
        </w:rPr>
        <w:t xml:space="preserve"> s.r.o. do majetku Města Kutná Hora</w:t>
      </w:r>
    </w:p>
    <w:p w:rsidR="00F61248" w:rsidRDefault="00F61248">
      <w:r>
        <w:t xml:space="preserve">Reagujeme tímto na předložená návrh na usnesení ZM předloženém k hlasování na zasedání ZM dne </w:t>
      </w:r>
      <w:proofErr w:type="gramStart"/>
      <w:r>
        <w:t>5.11.2019</w:t>
      </w:r>
      <w:proofErr w:type="gramEnd"/>
      <w:r>
        <w:t xml:space="preserve"> a schválený záměr koupě předmětných KJ Usnesení ZM 161/19 ze dne 10.9.2019.</w:t>
      </w:r>
    </w:p>
    <w:p w:rsidR="002C6D76" w:rsidRDefault="00551ECE">
      <w:r>
        <w:t xml:space="preserve">Předmětem transakce je odkup šestice kogeneračních jednotek o celkovém elektrickém výkonu 1,2 </w:t>
      </w:r>
      <w:proofErr w:type="spellStart"/>
      <w:proofErr w:type="gramStart"/>
      <w:r>
        <w:t>MW</w:t>
      </w:r>
      <w:r w:rsidRPr="00551ECE">
        <w:rPr>
          <w:vertAlign w:val="subscript"/>
        </w:rPr>
        <w:t>e</w:t>
      </w:r>
      <w:proofErr w:type="spellEnd"/>
      <w:r>
        <w:rPr>
          <w:vertAlign w:val="subscript"/>
        </w:rPr>
        <w:t xml:space="preserve">  </w:t>
      </w:r>
      <w:r>
        <w:t>(2x</w:t>
      </w:r>
      <w:proofErr w:type="gramEnd"/>
      <w:r>
        <w:t xml:space="preserve"> stroj značky TEDOM, 4x stroj značky BOSCH)  majetku KH </w:t>
      </w:r>
      <w:proofErr w:type="spellStart"/>
      <w:r>
        <w:t>Tebis</w:t>
      </w:r>
      <w:proofErr w:type="spellEnd"/>
      <w:r>
        <w:t xml:space="preserve"> s.r.o. (financovaný vlastními prostředky KH </w:t>
      </w:r>
      <w:proofErr w:type="spellStart"/>
      <w:r>
        <w:t>Tebis</w:t>
      </w:r>
      <w:proofErr w:type="spellEnd"/>
      <w:r>
        <w:t xml:space="preserve"> s.r.o. a úvěry za touto společností) do majetku Města Kutná Hora a jejich zpětný pronájem společnosti KH </w:t>
      </w:r>
      <w:proofErr w:type="spellStart"/>
      <w:r>
        <w:t>Tebis</w:t>
      </w:r>
      <w:proofErr w:type="spellEnd"/>
      <w:r>
        <w:t xml:space="preserve"> s.r.o.</w:t>
      </w:r>
    </w:p>
    <w:p w:rsidR="002C6D76" w:rsidRDefault="002C6D76">
      <w:r>
        <w:t>Tato společnost</w:t>
      </w:r>
      <w:r w:rsidR="006A7D06">
        <w:t xml:space="preserve">, </w:t>
      </w:r>
      <w:proofErr w:type="gramStart"/>
      <w:r w:rsidR="006A7D06">
        <w:t>jejíž</w:t>
      </w:r>
      <w:proofErr w:type="gramEnd"/>
      <w:r w:rsidR="006A7D06">
        <w:t xml:space="preserve"> 100% vlastníkem </w:t>
      </w:r>
      <w:proofErr w:type="gramStart"/>
      <w:r w:rsidR="006A7D06">
        <w:t>je</w:t>
      </w:r>
      <w:proofErr w:type="gramEnd"/>
      <w:r w:rsidR="006A7D06">
        <w:t xml:space="preserve"> Město Kutná Hora</w:t>
      </w:r>
      <w:r>
        <w:t xml:space="preserve"> je držitelem patřičných licencí pro podnikání v energetických odvětvích číslo 11, 31 a 32, které ji opravňují k dodávkám vyrobené elektrické a tepelné energie do veřejných sítí. Město Kutná Hora není držitelem těchto oprávnění (tzv. licencí) a stroje pořízené do jeho vlastnictví nemůže využít jinak než pronajmout/prodat držiteli příslušných oprávnění.</w:t>
      </w:r>
    </w:p>
    <w:p w:rsidR="002C6D76" w:rsidRDefault="002C6D76">
      <w:r>
        <w:t xml:space="preserve">Usnesením 161/19 přijatým ZM Kutná Hora </w:t>
      </w:r>
      <w:proofErr w:type="gramStart"/>
      <w:r>
        <w:t>10.9.2019</w:t>
      </w:r>
      <w:proofErr w:type="gramEnd"/>
      <w:r>
        <w:t xml:space="preserve"> se předpokládá:</w:t>
      </w:r>
    </w:p>
    <w:p w:rsidR="002C6D76" w:rsidRDefault="002C6D76" w:rsidP="002C6D76">
      <w:pPr>
        <w:pStyle w:val="Odstavecseseznamem"/>
        <w:numPr>
          <w:ilvl w:val="0"/>
          <w:numId w:val="1"/>
        </w:numPr>
      </w:pPr>
      <w:r>
        <w:t xml:space="preserve">Koupě předmětných KJ za přibližný ekvivalent pořizovací ceny 28,5 </w:t>
      </w:r>
      <w:proofErr w:type="spellStart"/>
      <w:r>
        <w:t>mio</w:t>
      </w:r>
      <w:proofErr w:type="spellEnd"/>
      <w:r>
        <w:t xml:space="preserve"> Kč bez DPH.</w:t>
      </w:r>
    </w:p>
    <w:p w:rsidR="00551ECE" w:rsidRPr="00551ECE" w:rsidRDefault="002C6D76" w:rsidP="002C6D76">
      <w:pPr>
        <w:pStyle w:val="Odstavecseseznamem"/>
        <w:numPr>
          <w:ilvl w:val="0"/>
          <w:numId w:val="1"/>
        </w:numPr>
      </w:pPr>
      <w:r>
        <w:t xml:space="preserve">Financování záměru z rámcového investičního úvěru od ČS, a.s.    </w:t>
      </w:r>
      <w:r w:rsidR="00551ECE">
        <w:t xml:space="preserve">  </w:t>
      </w:r>
    </w:p>
    <w:p w:rsidR="009F40AD" w:rsidRDefault="002C6D76">
      <w:r>
        <w:t xml:space="preserve">Důvodová zpráva </w:t>
      </w:r>
      <w:r w:rsidR="00B714BA">
        <w:t xml:space="preserve">k přijatému Usnesení toliko stručně </w:t>
      </w:r>
      <w:r w:rsidR="009F40AD">
        <w:t>konstatuje</w:t>
      </w:r>
      <w:r w:rsidR="00B714BA">
        <w:t xml:space="preserve"> záměr,</w:t>
      </w:r>
      <w:r w:rsidR="009F40AD">
        <w:t xml:space="preserve"> avšak vůbec se nezabývá:</w:t>
      </w:r>
    </w:p>
    <w:p w:rsidR="009F40AD" w:rsidRDefault="009F40AD" w:rsidP="00E47A8C">
      <w:pPr>
        <w:pStyle w:val="Odstavecseseznamem"/>
        <w:numPr>
          <w:ilvl w:val="0"/>
          <w:numId w:val="2"/>
        </w:numPr>
      </w:pPr>
      <w:r>
        <w:t xml:space="preserve">Důvody odkupu předmětných strojů z vlastnictví KH </w:t>
      </w:r>
      <w:proofErr w:type="spellStart"/>
      <w:r>
        <w:t>Tebis</w:t>
      </w:r>
      <w:proofErr w:type="spellEnd"/>
      <w:r>
        <w:t xml:space="preserve">, s.r.o., (vykazovaných jako stálá aktiva licencovaného subjektu) do vlastnictví Města Kutná Hora. </w:t>
      </w:r>
    </w:p>
    <w:p w:rsidR="002C6D76" w:rsidRDefault="009F40AD" w:rsidP="00E47A8C">
      <w:pPr>
        <w:pStyle w:val="Odstavecseseznamem"/>
        <w:numPr>
          <w:ilvl w:val="0"/>
          <w:numId w:val="2"/>
        </w:numPr>
      </w:pPr>
      <w:r>
        <w:t xml:space="preserve">Vyčíslením ekonomických důsledků/nákladů této transakce pro obě její strany, tedy Město Kutná Hora a KH </w:t>
      </w:r>
      <w:proofErr w:type="spellStart"/>
      <w:r>
        <w:t>Tebis</w:t>
      </w:r>
      <w:proofErr w:type="spellEnd"/>
      <w:r>
        <w:t xml:space="preserve"> s.</w:t>
      </w:r>
      <w:proofErr w:type="gramStart"/>
      <w:r>
        <w:t>r.o..</w:t>
      </w:r>
      <w:proofErr w:type="gramEnd"/>
      <w:r>
        <w:t xml:space="preserve"> Jak již bylo uvedeno výše, Město Kutná Hora nemá pro předmětné stroje jiné využití než je jejich zpětný pronájem KH </w:t>
      </w:r>
      <w:proofErr w:type="spellStart"/>
      <w:r>
        <w:t>Tebis</w:t>
      </w:r>
      <w:proofErr w:type="spellEnd"/>
      <w:r>
        <w:t xml:space="preserve"> s.r.o., resp. další prodej.  </w:t>
      </w:r>
      <w:r w:rsidR="00B714BA">
        <w:t xml:space="preserve">  </w:t>
      </w:r>
    </w:p>
    <w:p w:rsidR="00E47A8C" w:rsidRDefault="00F61248">
      <w:r>
        <w:t xml:space="preserve">Navrhujeme </w:t>
      </w:r>
      <w:r w:rsidR="00551ECE">
        <w:t xml:space="preserve">odložení hlasování o předložených materiálech na další zasedání Zastupitelstva města Kutná Hora a to až po doplnění konkrétních </w:t>
      </w:r>
      <w:r w:rsidR="00E47A8C">
        <w:t xml:space="preserve">informací vycházejících ze skutečností uvedených výše a vyjmenovaných v následujícím seznamu. S ohledem na </w:t>
      </w:r>
      <w:r w:rsidR="006A7D06">
        <w:t>ekonomický význam a dopady transakce pro hospodaření obou subjektů se odvoláváme na povinnost volených zástupců jednat s patřičnou odbornou péčí, dále pak na povinnost Rady města v roli jediného společníka městské společnost jednat s péčí řádného hospodáře, jejíž nedílnou součástí je zabezpečení informovanosti.</w:t>
      </w:r>
    </w:p>
    <w:p w:rsidR="004B50E6" w:rsidRDefault="004B50E6" w:rsidP="00440707">
      <w:pPr>
        <w:pStyle w:val="Odstavecseseznamem"/>
        <w:numPr>
          <w:ilvl w:val="0"/>
          <w:numId w:val="4"/>
        </w:numPr>
      </w:pPr>
      <w:r>
        <w:t xml:space="preserve">Důvod vyřazení KJ z vlastnictví KH </w:t>
      </w:r>
      <w:proofErr w:type="spellStart"/>
      <w:r>
        <w:t>Tebis</w:t>
      </w:r>
      <w:proofErr w:type="spellEnd"/>
      <w:r>
        <w:t xml:space="preserve"> s.r.o., vyčíslení dopadů, pokud by předmětné KJ zůstaly v majetku KH </w:t>
      </w:r>
      <w:proofErr w:type="spellStart"/>
      <w:r>
        <w:t>Tebis</w:t>
      </w:r>
      <w:proofErr w:type="spellEnd"/>
      <w:r>
        <w:t>.</w:t>
      </w:r>
    </w:p>
    <w:p w:rsidR="006A7D06" w:rsidRDefault="006A7D06" w:rsidP="00440707">
      <w:pPr>
        <w:pStyle w:val="Odstavecseseznamem"/>
        <w:numPr>
          <w:ilvl w:val="0"/>
          <w:numId w:val="4"/>
        </w:numPr>
      </w:pPr>
      <w:r>
        <w:t xml:space="preserve">Vyčíslení důsledků nevyčerpání úvěru </w:t>
      </w:r>
      <w:r w:rsidRPr="006A7D06">
        <w:t>10144/17/LCD</w:t>
      </w:r>
      <w:r>
        <w:t xml:space="preserve"> od ČS a.s. Možná penalizace, zároveň však snížení </w:t>
      </w:r>
      <w:r w:rsidR="004B50E6">
        <w:t xml:space="preserve">dluhové služby města (splátek jistiny a úroků). </w:t>
      </w:r>
      <w:r>
        <w:t xml:space="preserve"> </w:t>
      </w:r>
    </w:p>
    <w:p w:rsidR="00440707" w:rsidRDefault="004B50E6" w:rsidP="00440707">
      <w:pPr>
        <w:pStyle w:val="Odstavecseseznamem"/>
        <w:numPr>
          <w:ilvl w:val="0"/>
          <w:numId w:val="4"/>
        </w:numPr>
      </w:pPr>
      <w:r>
        <w:t xml:space="preserve">Formální správnost transakce z pohledu správce daně. Město Kutná Hora </w:t>
      </w:r>
      <w:r w:rsidR="00440707">
        <w:t xml:space="preserve">nemá pro nakupované stroje jiné využití než jejich zpětný pronájem KH </w:t>
      </w:r>
      <w:proofErr w:type="spellStart"/>
      <w:r w:rsidR="00440707">
        <w:t>Tebis</w:t>
      </w:r>
      <w:proofErr w:type="spellEnd"/>
      <w:r w:rsidR="00440707">
        <w:t xml:space="preserve"> s.</w:t>
      </w:r>
      <w:proofErr w:type="spellStart"/>
      <w:r w:rsidR="00440707">
        <w:t>r.o</w:t>
      </w:r>
      <w:proofErr w:type="spellEnd"/>
      <w:r w:rsidR="00440707">
        <w:t>, která vlastní potřebná oprávnění pro podnikání energetických odvětvích. Je formálně správný postup, kdy Město Kutná Hora rozhoduje o koupi majetku, který nemůže využít jinak než výš uvedeným způsobem bez toho, aby zároveň ZM projednalo podmínky pronájmu těchto strojů?</w:t>
      </w:r>
    </w:p>
    <w:p w:rsidR="00FE154A" w:rsidRDefault="00440707" w:rsidP="00440707">
      <w:pPr>
        <w:pStyle w:val="Odstavecseseznamem"/>
        <w:numPr>
          <w:ilvl w:val="0"/>
          <w:numId w:val="4"/>
        </w:numPr>
      </w:pPr>
      <w:r>
        <w:t xml:space="preserve">Vyčíslení dopadů vyřazení předmětných strojů z majetku KH </w:t>
      </w:r>
      <w:proofErr w:type="spellStart"/>
      <w:r>
        <w:t>Tebis</w:t>
      </w:r>
      <w:proofErr w:type="spellEnd"/>
      <w:r>
        <w:t xml:space="preserve"> s.r.o. Jedná se zejména dopad na platbu  DPPO</w:t>
      </w:r>
      <w:r>
        <w:rPr>
          <w:rStyle w:val="Znakapoznpodarou"/>
        </w:rPr>
        <w:footnoteReference w:id="1"/>
      </w:r>
      <w:r>
        <w:t xml:space="preserve">. </w:t>
      </w:r>
      <w:r w:rsidR="00551ECE">
        <w:t xml:space="preserve"> </w:t>
      </w:r>
    </w:p>
    <w:p w:rsidR="004A06FF" w:rsidRDefault="00FE154A" w:rsidP="00440707">
      <w:pPr>
        <w:pStyle w:val="Odstavecseseznamem"/>
        <w:numPr>
          <w:ilvl w:val="0"/>
          <w:numId w:val="4"/>
        </w:numPr>
      </w:pPr>
      <w:r>
        <w:t xml:space="preserve">Zajištění převzetí bezvadného plnění KJ do vlastnictví města. Ze zápisů dozorčích rad je patrné, že KJ TEDOM byly reklamovány. </w:t>
      </w:r>
      <w:r w:rsidR="00551ECE">
        <w:t xml:space="preserve"> </w:t>
      </w:r>
      <w:r w:rsidR="00F61248">
        <w:t xml:space="preserve">    </w:t>
      </w:r>
    </w:p>
    <w:sectPr w:rsidR="004A06FF" w:rsidSect="00D7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1F" w:rsidRDefault="00E5601F" w:rsidP="00440707">
      <w:pPr>
        <w:spacing w:after="0" w:line="240" w:lineRule="auto"/>
      </w:pPr>
      <w:r>
        <w:separator/>
      </w:r>
    </w:p>
  </w:endnote>
  <w:endnote w:type="continuationSeparator" w:id="0">
    <w:p w:rsidR="00E5601F" w:rsidRDefault="00E5601F" w:rsidP="0044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1F" w:rsidRDefault="00E5601F" w:rsidP="00440707">
      <w:pPr>
        <w:spacing w:after="0" w:line="240" w:lineRule="auto"/>
      </w:pPr>
      <w:r>
        <w:separator/>
      </w:r>
    </w:p>
  </w:footnote>
  <w:footnote w:type="continuationSeparator" w:id="0">
    <w:p w:rsidR="00E5601F" w:rsidRDefault="00E5601F" w:rsidP="00440707">
      <w:pPr>
        <w:spacing w:after="0" w:line="240" w:lineRule="auto"/>
      </w:pPr>
      <w:r>
        <w:continuationSeparator/>
      </w:r>
    </w:p>
  </w:footnote>
  <w:footnote w:id="1">
    <w:p w:rsidR="00440707" w:rsidRDefault="00440707">
      <w:pPr>
        <w:pStyle w:val="Textpoznpodarou"/>
      </w:pPr>
      <w:r>
        <w:rPr>
          <w:rStyle w:val="Znakapoznpodarou"/>
        </w:rPr>
        <w:footnoteRef/>
      </w:r>
      <w:r>
        <w:t xml:space="preserve"> Daň z příjmu právnických osob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D01"/>
    <w:multiLevelType w:val="hybridMultilevel"/>
    <w:tmpl w:val="B6CE8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4A7E"/>
    <w:multiLevelType w:val="hybridMultilevel"/>
    <w:tmpl w:val="241CA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FEF"/>
    <w:multiLevelType w:val="hybridMultilevel"/>
    <w:tmpl w:val="3B48C8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4925"/>
    <w:multiLevelType w:val="hybridMultilevel"/>
    <w:tmpl w:val="A4A4B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820"/>
    <w:rsid w:val="002C6D76"/>
    <w:rsid w:val="00440707"/>
    <w:rsid w:val="004A06FF"/>
    <w:rsid w:val="004B50E6"/>
    <w:rsid w:val="00551ECE"/>
    <w:rsid w:val="00647DC8"/>
    <w:rsid w:val="006A7D06"/>
    <w:rsid w:val="0094523C"/>
    <w:rsid w:val="009B3820"/>
    <w:rsid w:val="009F40AD"/>
    <w:rsid w:val="00B714BA"/>
    <w:rsid w:val="00C33C33"/>
    <w:rsid w:val="00D706EF"/>
    <w:rsid w:val="00E47A8C"/>
    <w:rsid w:val="00E5601F"/>
    <w:rsid w:val="00F61248"/>
    <w:rsid w:val="00F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DC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0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61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1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C6D7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7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7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0707"/>
    <w:rPr>
      <w:vertAlign w:val="superscript"/>
    </w:rPr>
  </w:style>
  <w:style w:type="character" w:styleId="Siln">
    <w:name w:val="Strong"/>
    <w:basedOn w:val="Standardnpsmoodstavce"/>
    <w:uiPriority w:val="22"/>
    <w:qFormat/>
    <w:rsid w:val="0044070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407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A65D-21D8-4EBD-A5DC-28F8E8C0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Götz</dc:creator>
  <cp:lastModifiedBy>Jana Buřičová</cp:lastModifiedBy>
  <cp:revision>2</cp:revision>
  <dcterms:created xsi:type="dcterms:W3CDTF">2019-11-05T09:31:00Z</dcterms:created>
  <dcterms:modified xsi:type="dcterms:W3CDTF">2019-11-05T09:31:00Z</dcterms:modified>
</cp:coreProperties>
</file>